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7D" w:rsidRDefault="00A3457D" w:rsidP="00A3457D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</w:pPr>
    </w:p>
    <w:p w:rsidR="00A3457D" w:rsidRDefault="00E8166E" w:rsidP="00CE306A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למחלקת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ה</w:t>
      </w:r>
      <w:r w:rsidR="004E30E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-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lang w:val="en-US" w:bidi="he-IL"/>
        </w:rPr>
        <w:t>C</w:t>
      </w:r>
      <w:r w:rsidR="00A3457D"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  <w:t>orporate Finance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(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בנקאות להשקעות</w:t>
      </w:r>
      <w:r w:rsidR="00CE306A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CE306A">
        <w:rPr>
          <w:rFonts w:ascii="Arial" w:eastAsia="Times New Roman" w:hAnsi="Arial" w:cs="Arial" w:hint="cs"/>
          <w:color w:val="292D2F"/>
          <w:sz w:val="21"/>
          <w:szCs w:val="21"/>
          <w:lang w:val="en-US" w:bidi="he-IL"/>
        </w:rPr>
        <w:t>M&amp;A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) 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של</w:t>
      </w:r>
      <w:r w:rsidR="00D456C6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D456C6"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  <w:t>PwC</w:t>
      </w:r>
      <w:r w:rsidR="00D456C6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D456C6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- חברת הייעוץ מהגדולות בעולם,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דרוש</w:t>
      </w:r>
      <w:r w:rsidR="00E434F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ים </w:t>
      </w:r>
      <w:r w:rsidR="00E434F3" w:rsidRPr="00E434F3">
        <w:rPr>
          <w:rFonts w:ascii="Arial" w:eastAsia="Times New Roman" w:hAnsi="Arial" w:cs="Arial" w:hint="cs"/>
          <w:color w:val="292D2F"/>
          <w:sz w:val="21"/>
          <w:szCs w:val="21"/>
          <w:u w:val="single"/>
          <w:rtl/>
          <w:lang w:val="en-US" w:bidi="he-IL"/>
        </w:rPr>
        <w:t>בוגרי אוניברסיטאו</w:t>
      </w:r>
      <w:r w:rsidR="00E434F3" w:rsidRPr="00E434F3">
        <w:rPr>
          <w:rFonts w:ascii="Arial" w:eastAsia="Times New Roman" w:hAnsi="Arial" w:cs="Arial" w:hint="eastAsia"/>
          <w:color w:val="292D2F"/>
          <w:sz w:val="21"/>
          <w:szCs w:val="21"/>
          <w:u w:val="single"/>
          <w:rtl/>
          <w:lang w:val="en-US" w:bidi="he-IL"/>
        </w:rPr>
        <w:t>ת</w:t>
      </w:r>
      <w:r w:rsidR="00E434F3" w:rsidRPr="00E434F3">
        <w:rPr>
          <w:rFonts w:ascii="Arial" w:eastAsia="Times New Roman" w:hAnsi="Arial" w:cs="Arial" w:hint="cs"/>
          <w:color w:val="292D2F"/>
          <w:sz w:val="21"/>
          <w:szCs w:val="21"/>
          <w:u w:val="single"/>
          <w:rtl/>
          <w:lang w:val="en-US" w:bidi="he-IL"/>
        </w:rPr>
        <w:t xml:space="preserve"> מצטיינים</w:t>
      </w:r>
      <w:r w:rsidR="00E434F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לתפקיד התחלתי של 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אנליסט</w:t>
      </w:r>
      <w:r w:rsidR="00CC774B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/</w:t>
      </w:r>
      <w:proofErr w:type="spellStart"/>
      <w:r w:rsidR="00CC774B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ית</w:t>
      </w:r>
      <w:proofErr w:type="spellEnd"/>
      <w:r w:rsidR="00E434F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פיננסי/ת</w:t>
      </w:r>
      <w:r w:rsidR="00FE223F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.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ה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מחלק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ה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עוסקת ב</w:t>
      </w:r>
      <w:r w:rsidR="007A630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ליווי החברות המובילות במשק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בתהליכי 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מיזוגים ורכישות (</w:t>
      </w:r>
      <w:r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  <w:t>M&amp;A</w:t>
      </w:r>
      <w:r w:rsidR="00911792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),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ו</w:t>
      </w:r>
      <w:r w:rsidR="00373579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בתהליכי 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גיוס</w:t>
      </w:r>
      <w:r w:rsidR="007A630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חוב והון. </w:t>
      </w:r>
    </w:p>
    <w:p w:rsidR="00A3457D" w:rsidRDefault="00A3457D" w:rsidP="00A3457D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E8166E" w:rsidRDefault="00E8166E" w:rsidP="00E8166E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 w:rsidRPr="00A3457D">
        <w:rPr>
          <w:rFonts w:ascii="Arial" w:eastAsia="Times New Roman" w:hAnsi="Arial" w:cs="Arial" w:hint="cs"/>
          <w:b/>
          <w:bCs/>
          <w:color w:val="292D2F"/>
          <w:sz w:val="21"/>
          <w:szCs w:val="21"/>
          <w:rtl/>
          <w:lang w:val="en-US" w:bidi="he-IL"/>
        </w:rPr>
        <w:t>התפקיד כולל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:</w:t>
      </w:r>
    </w:p>
    <w:p w:rsidR="00A3457D" w:rsidRDefault="00A3457D" w:rsidP="00A3457D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E8166E" w:rsidRDefault="00A3457D" w:rsidP="00A3457D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הכנת </w:t>
      </w:r>
      <w:r w:rsidR="00E8166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ניתוח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י</w:t>
      </w:r>
      <w:r w:rsidR="00E8166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חברות 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וניתוחי </w:t>
      </w:r>
      <w:r w:rsidR="00E8166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שוק</w:t>
      </w:r>
    </w:p>
    <w:p w:rsidR="00E8166E" w:rsidRDefault="00E8166E" w:rsidP="00A3457D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ניתוח דוחות </w:t>
      </w:r>
      <w:r w:rsid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כספיים של </w:t>
      </w:r>
      <w:r w:rsidR="004F280F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חברות</w:t>
      </w:r>
    </w:p>
    <w:p w:rsidR="00E8166E" w:rsidRDefault="00A3457D" w:rsidP="00E8166E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בניית</w:t>
      </w:r>
      <w:r w:rsidR="00E8166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מצגות משקיעים באנגלית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ובעברית </w:t>
      </w:r>
    </w:p>
    <w:p w:rsidR="00E8166E" w:rsidRDefault="00A3457D" w:rsidP="00E8166E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ביצוע </w:t>
      </w:r>
      <w:r w:rsidR="00E8166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עבודת מחקר באתרים ובמאגרי מידע</w:t>
      </w:r>
    </w:p>
    <w:p w:rsidR="002A0EA2" w:rsidRDefault="00E8166E" w:rsidP="004F280F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ניתוח חוב/אשראי</w:t>
      </w:r>
    </w:p>
    <w:p w:rsidR="00A3457D" w:rsidRDefault="00A3457D" w:rsidP="00A3457D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בניית מודליים כלכליים</w:t>
      </w:r>
    </w:p>
    <w:p w:rsidR="00113C4E" w:rsidRDefault="00113C4E" w:rsidP="003F192F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ממשק שוטף עם מנהלי ושותפי הפירמה</w:t>
      </w:r>
    </w:p>
    <w:p w:rsidR="003F192F" w:rsidRDefault="0003704D" w:rsidP="00113C4E">
      <w:pPr>
        <w:pStyle w:val="ListParagraph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ליווי וביצוע פרויקטים </w:t>
      </w:r>
      <w:r w:rsidR="00113C4E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מול לקוחות</w:t>
      </w:r>
    </w:p>
    <w:p w:rsidR="00A3457D" w:rsidRPr="004F280F" w:rsidRDefault="00A3457D" w:rsidP="00A3457D">
      <w:pPr>
        <w:pStyle w:val="ListParagraph"/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2A0EA2" w:rsidRDefault="002A0EA2" w:rsidP="002A0EA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 w:rsidRPr="00A3457D">
        <w:rPr>
          <w:rFonts w:ascii="Arial" w:eastAsia="Times New Roman" w:hAnsi="Arial" w:cs="Arial" w:hint="cs"/>
          <w:b/>
          <w:bCs/>
          <w:color w:val="292D2F"/>
          <w:sz w:val="21"/>
          <w:szCs w:val="21"/>
          <w:rtl/>
          <w:lang w:val="en-US" w:bidi="he-IL"/>
        </w:rPr>
        <w:t>דרישות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:</w:t>
      </w:r>
    </w:p>
    <w:p w:rsidR="00BC71FE" w:rsidRPr="00A3457D" w:rsidRDefault="00BC71FE" w:rsidP="00BC71FE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 w:rsidRP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תואר ראשון בכלכלה/מנה</w:t>
      </w:r>
      <w:r w:rsidR="00E434F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ל עסקים/חשבונאות, חובה 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בוגרים בהצטיינות</w:t>
      </w:r>
    </w:p>
    <w:p w:rsidR="00BC71FE" w:rsidRPr="00A3457D" w:rsidRDefault="00BC71FE" w:rsidP="00BC71FE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 w:rsidRP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אנגלית 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ברמת שפת אם (דיבור וכתיבה) </w:t>
      </w:r>
      <w:r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  <w:t>–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חובה</w:t>
      </w:r>
    </w:p>
    <w:p w:rsidR="00BC71FE" w:rsidRPr="00A3457D" w:rsidRDefault="00BC71FE" w:rsidP="00BC71FE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שליטה מלאה בתכנות </w:t>
      </w:r>
      <w:r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  <w:t>Excel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ו-</w:t>
      </w:r>
      <w:r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  <w:t>Power Point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</w:p>
    <w:p w:rsidR="00BE5872" w:rsidRDefault="00BE5872" w:rsidP="00E253BB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 w:rsidRP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</w:t>
      </w:r>
      <w:r w:rsidR="007A6303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יומנות בינאישית גבוה</w:t>
      </w:r>
      <w:r w:rsidR="00CE306A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ה</w:t>
      </w:r>
    </w:p>
    <w:p w:rsidR="00F7144A" w:rsidRDefault="00BC71FE" w:rsidP="00BC71FE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יכולת עבודה בצוות</w:t>
      </w:r>
    </w:p>
    <w:p w:rsidR="00273872" w:rsidRDefault="00BC71FE" w:rsidP="00273872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עצמאות ו</w:t>
      </w:r>
      <w:r w:rsidR="00273872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יכולת עבודה על מספר משימות במקביל </w:t>
      </w:r>
    </w:p>
    <w:p w:rsidR="00273872" w:rsidRDefault="00273872" w:rsidP="00273872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חשיבה אנליטית </w:t>
      </w:r>
    </w:p>
    <w:p w:rsidR="00273872" w:rsidRPr="00273872" w:rsidRDefault="00273872" w:rsidP="00273872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ייצוגיות </w:t>
      </w:r>
    </w:p>
    <w:p w:rsidR="00BC71FE" w:rsidRPr="00273872" w:rsidRDefault="00BC71FE" w:rsidP="00BC71FE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יכולת לעבוד תחת לחץ תוך עמידה בלוחות זמנים </w:t>
      </w:r>
    </w:p>
    <w:p w:rsidR="00273872" w:rsidRDefault="00F7144A" w:rsidP="00273872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נכונות לעבודה מאומצת ושעות נוספות לפי הצורך</w:t>
      </w:r>
      <w:r w:rsidR="00273872" w:rsidRPr="00273872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bookmarkStart w:id="0" w:name="_GoBack"/>
      <w:bookmarkEnd w:id="0"/>
    </w:p>
    <w:p w:rsidR="006F5DEC" w:rsidRPr="006F5DEC" w:rsidRDefault="006F5DEC" w:rsidP="006F5DEC">
      <w:pPr>
        <w:pStyle w:val="ListParagraph"/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lang w:val="en-US" w:bidi="he-IL"/>
        </w:rPr>
      </w:pPr>
      <w:r w:rsidRP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יכולת בניה וכתיב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ת </w:t>
      </w:r>
      <w:r w:rsidRPr="00A3457D"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מצגות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</w:t>
      </w:r>
      <w:r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  <w:t>–</w:t>
      </w: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 xml:space="preserve"> יתרון </w:t>
      </w:r>
    </w:p>
    <w:p w:rsidR="002A0EA2" w:rsidRDefault="002A0EA2" w:rsidP="002A0EA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2A0EA2" w:rsidRDefault="002A0EA2" w:rsidP="00BE587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המשרה מיועדת לנשים ולגברים כאחד.</w:t>
      </w:r>
    </w:p>
    <w:p w:rsidR="00113C4E" w:rsidRDefault="00113C4E" w:rsidP="00113C4E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  <w:r>
        <w:rPr>
          <w:rFonts w:ascii="Arial" w:eastAsia="Times New Roman" w:hAnsi="Arial" w:cs="Arial" w:hint="cs"/>
          <w:color w:val="292D2F"/>
          <w:sz w:val="21"/>
          <w:szCs w:val="21"/>
          <w:rtl/>
          <w:lang w:val="en-US" w:bidi="he-IL"/>
        </w:rPr>
        <w:t>המשרה אינה מהווה התמחות בראיית חשבון.</w:t>
      </w:r>
    </w:p>
    <w:p w:rsidR="00B338D2" w:rsidRDefault="00B338D2" w:rsidP="00B338D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B338D2" w:rsidRDefault="00B338D2" w:rsidP="00B338D2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92D2F"/>
          <w:sz w:val="21"/>
          <w:szCs w:val="21"/>
          <w:rtl/>
          <w:lang w:val="en-US" w:bidi="he-IL"/>
        </w:rPr>
      </w:pPr>
    </w:p>
    <w:p w:rsidR="00503492" w:rsidRPr="002A0EA2" w:rsidRDefault="00503492" w:rsidP="002A0EA2">
      <w:pPr>
        <w:rPr>
          <w:lang w:bidi="he-IL"/>
        </w:rPr>
      </w:pPr>
    </w:p>
    <w:sectPr w:rsidR="00503492" w:rsidRPr="002A0EA2" w:rsidSect="008C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137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8C" w:rsidRDefault="0047558C">
      <w:pPr>
        <w:spacing w:line="240" w:lineRule="auto"/>
      </w:pPr>
      <w:r>
        <w:separator/>
      </w:r>
    </w:p>
  </w:endnote>
  <w:endnote w:type="continuationSeparator" w:id="0">
    <w:p w:rsidR="0047558C" w:rsidRDefault="00475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Default="00BA66EB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EE3F31">
      <w:rPr>
        <w:noProof/>
      </w:rPr>
      <w:t>1</w:t>
    </w:r>
    <w:r>
      <w:rPr>
        <w:noProof/>
      </w:rPr>
      <w:fldChar w:fldCharType="end"/>
    </w:r>
    <w:r w:rsidR="00EE3F31">
      <w:t xml:space="preserve"> of </w:t>
    </w:r>
    <w:r w:rsidR="00113C4E">
      <w:rPr>
        <w:noProof/>
      </w:rPr>
      <w:fldChar w:fldCharType="begin"/>
    </w:r>
    <w:r w:rsidR="00113C4E">
      <w:rPr>
        <w:noProof/>
      </w:rPr>
      <w:instrText xml:space="preserve"> NUMPAGES  \* MERGEFORMAT </w:instrText>
    </w:r>
    <w:r w:rsidR="00113C4E">
      <w:rPr>
        <w:noProof/>
      </w:rPr>
      <w:fldChar w:fldCharType="separate"/>
    </w:r>
    <w:r w:rsidR="00524A47">
      <w:rPr>
        <w:noProof/>
      </w:rPr>
      <w:t>1</w:t>
    </w:r>
    <w:r w:rsidR="00113C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Default="00BA66EB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EE3F31">
      <w:rPr>
        <w:noProof/>
      </w:rPr>
      <w:t>1</w:t>
    </w:r>
    <w:r>
      <w:rPr>
        <w:noProof/>
      </w:rPr>
      <w:fldChar w:fldCharType="end"/>
    </w:r>
    <w:r w:rsidR="00EE3F31">
      <w:t xml:space="preserve"> of </w:t>
    </w:r>
    <w:r w:rsidR="00113C4E">
      <w:rPr>
        <w:noProof/>
      </w:rPr>
      <w:fldChar w:fldCharType="begin"/>
    </w:r>
    <w:r w:rsidR="00113C4E">
      <w:rPr>
        <w:noProof/>
      </w:rPr>
      <w:instrText xml:space="preserve"> NUMPAGES  \* MERGEFORMAT </w:instrText>
    </w:r>
    <w:r w:rsidR="00113C4E">
      <w:rPr>
        <w:noProof/>
      </w:rPr>
      <w:fldChar w:fldCharType="separate"/>
    </w:r>
    <w:r w:rsidR="00524A47">
      <w:rPr>
        <w:noProof/>
      </w:rPr>
      <w:t>1</w:t>
    </w:r>
    <w:r w:rsidR="00113C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Pr="00E936A6" w:rsidRDefault="00BA66EB" w:rsidP="009E5191">
    <w:pPr>
      <w:pStyle w:val="PwCAddress"/>
      <w:bidi/>
      <w:rPr>
        <w:rFonts w:cs="Arial"/>
        <w:i w:val="0"/>
        <w:iCs/>
        <w:szCs w:val="18"/>
        <w:rtl/>
        <w:lang w:val="en-US" w:bidi="he-IL"/>
      </w:rPr>
    </w:pPr>
    <w:r>
      <w:rPr>
        <w:rFonts w:cs="Arial"/>
        <w:i w:val="0"/>
        <w:iCs/>
        <w:szCs w:val="18"/>
        <w:rtl/>
        <w:lang w:val="en-US" w:eastAsia="en-US" w:bidi="he-I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9792335</wp:posOffset>
              </wp:positionV>
              <wp:extent cx="5905500" cy="144145"/>
              <wp:effectExtent l="10795" t="10160" r="8255" b="7620"/>
              <wp:wrapNone/>
              <wp:docPr id="1" name="Freefor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905500" cy="144145"/>
                      </a:xfrm>
                      <a:custGeom>
                        <a:avLst/>
                        <a:gdLst>
                          <a:gd name="T0" fmla="*/ 0 w 9301"/>
                          <a:gd name="T1" fmla="*/ 228 h 228"/>
                          <a:gd name="T2" fmla="*/ 0 w 9301"/>
                          <a:gd name="T3" fmla="*/ 0 h 228"/>
                          <a:gd name="T4" fmla="*/ 9301 w 9301"/>
                          <a:gd name="T5" fmla="*/ 0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301" h="228">
                            <a:moveTo>
                              <a:pt x="0" y="228"/>
                            </a:moveTo>
                            <a:lnTo>
                              <a:pt x="0" y="0"/>
                            </a:lnTo>
                            <a:lnTo>
                              <a:pt x="9301" y="0"/>
                            </a:lnTo>
                          </a:path>
                        </a:pathLst>
                      </a:custGeom>
                      <a:noFill/>
                      <a:ln w="12700" cap="rnd">
                        <a:solidFill>
                          <a:srgbClr val="DC69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77381" id="Freeform 1" o:spid="_x0000_s1026" style="position:absolute;left:0;text-align:left;margin-left:87.85pt;margin-top:771.05pt;width:46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" path="m,228l,,9301,e" filled="f" strokecolor="#dc6900" strokeweight="1pt">
              <v:stroke dashstyle="1 1" endcap="round"/>
              <v:path arrowok="t" o:connecttype="custom" o:connectlocs="0,144145;0,0;5905500,0" o:connectangles="0,0,0"/>
              <o:lock v:ext="edit" aspectratio="t"/>
              <w10:wrap anchorx="page" anchory="page"/>
              <w10:anchorlock/>
            </v:shape>
          </w:pict>
        </mc:Fallback>
      </mc:AlternateContent>
    </w:r>
    <w:r w:rsidR="00EE3F31" w:rsidRPr="00E936A6">
      <w:rPr>
        <w:rFonts w:cs="Arial"/>
        <w:i w:val="0"/>
        <w:iCs/>
        <w:szCs w:val="18"/>
        <w:rtl/>
        <w:lang w:bidi="he-IL"/>
      </w:rPr>
      <w:t>קסלמן וקסלמן, מגדל הסחר, רחוב המרד 25, תל-אביב 68125, ישראל, ת.ד 452</w:t>
    </w:r>
    <w:r w:rsidR="00EE3F31" w:rsidRPr="00E936A6">
      <w:rPr>
        <w:rFonts w:cs="Arial"/>
        <w:i w:val="0"/>
        <w:iCs/>
        <w:szCs w:val="18"/>
        <w:rtl/>
        <w:lang w:val="en-US" w:bidi="he-IL"/>
      </w:rPr>
      <w:t xml:space="preserve"> תל-אביב 61003</w:t>
    </w:r>
  </w:p>
  <w:p w:rsidR="00EE3F31" w:rsidRPr="00E936A6" w:rsidRDefault="00EE3F31" w:rsidP="009E5191">
    <w:pPr>
      <w:pStyle w:val="PwCAddress"/>
      <w:bidi/>
      <w:rPr>
        <w:rFonts w:ascii="Arial" w:hAnsi="Arial" w:cs="Arial"/>
        <w:szCs w:val="18"/>
        <w:rtl/>
        <w:lang w:val="en-US" w:bidi="he-IL"/>
      </w:rPr>
    </w:pPr>
    <w:r w:rsidRPr="00E936A6">
      <w:rPr>
        <w:rFonts w:ascii="Arial" w:hAnsi="Arial" w:cs="Arial"/>
        <w:i w:val="0"/>
        <w:iCs/>
        <w:szCs w:val="18"/>
        <w:rtl/>
        <w:lang w:val="en-US" w:bidi="he-IL"/>
      </w:rPr>
      <w:t>טלפון:</w:t>
    </w:r>
    <w:r w:rsidRPr="00E936A6">
      <w:rPr>
        <w:rFonts w:ascii="Arial" w:hAnsi="Arial" w:cs="Arial"/>
        <w:szCs w:val="18"/>
        <w:rtl/>
        <w:lang w:val="en-US" w:bidi="he-IL"/>
      </w:rPr>
      <w:t xml:space="preserve"> </w:t>
    </w:r>
    <w:r w:rsidRPr="00E936A6">
      <w:rPr>
        <w:rFonts w:cs="Arial"/>
        <w:szCs w:val="18"/>
        <w:lang w:val="en-US" w:bidi="he-IL"/>
      </w:rPr>
      <w:t>+972-3-7954555</w:t>
    </w:r>
    <w:r w:rsidRPr="00E936A6">
      <w:rPr>
        <w:rFonts w:ascii="Arial" w:hAnsi="Arial" w:cs="Arial"/>
        <w:szCs w:val="18"/>
        <w:rtl/>
        <w:lang w:val="en-US" w:bidi="he-IL"/>
      </w:rPr>
      <w:t xml:space="preserve">, </w:t>
    </w:r>
    <w:r w:rsidRPr="00562C90">
      <w:rPr>
        <w:rFonts w:ascii="Arial" w:hAnsi="Arial" w:cs="Arial"/>
        <w:i w:val="0"/>
        <w:iCs/>
        <w:szCs w:val="18"/>
        <w:rtl/>
        <w:lang w:val="en-US" w:bidi="he-IL"/>
      </w:rPr>
      <w:t>פקס</w:t>
    </w:r>
    <w:r w:rsidRPr="00E936A6">
      <w:rPr>
        <w:rFonts w:ascii="Arial" w:hAnsi="Arial" w:cs="Arial"/>
        <w:szCs w:val="18"/>
        <w:rtl/>
        <w:lang w:val="en-US" w:bidi="he-IL"/>
      </w:rPr>
      <w:t xml:space="preserve">: </w:t>
    </w:r>
    <w:r w:rsidRPr="00E936A6">
      <w:rPr>
        <w:rFonts w:cs="Arial"/>
        <w:szCs w:val="18"/>
        <w:lang w:val="en-US" w:bidi="he-IL"/>
      </w:rPr>
      <w:t>+</w:t>
    </w:r>
    <w:r w:rsidRPr="00E936A6">
      <w:rPr>
        <w:rFonts w:asciiTheme="minorBidi" w:hAnsiTheme="minorBidi" w:cstheme="minorBidi"/>
        <w:szCs w:val="18"/>
        <w:lang w:val="en-US" w:bidi="he-IL"/>
      </w:rPr>
      <w:t>972-3-7954556</w:t>
    </w:r>
    <w:r w:rsidRPr="00E936A6">
      <w:rPr>
        <w:rFonts w:cs="Arial"/>
        <w:szCs w:val="18"/>
        <w:rtl/>
        <w:lang w:val="en-US" w:bidi="he-IL"/>
      </w:rPr>
      <w:t xml:space="preserve"> </w:t>
    </w:r>
    <w:r w:rsidRPr="00E936A6">
      <w:rPr>
        <w:rFonts w:cs="Arial"/>
        <w:szCs w:val="18"/>
        <w:lang w:val="en-US" w:bidi="he-IL"/>
      </w:rPr>
      <w:t>www.pwc.co.il</w:t>
    </w:r>
  </w:p>
  <w:p w:rsidR="00EE3F31" w:rsidRPr="005E6358" w:rsidRDefault="00EE3F31">
    <w:pPr>
      <w:rPr>
        <w:lang w:val="en-US"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8C" w:rsidRDefault="0047558C">
      <w:pPr>
        <w:spacing w:line="240" w:lineRule="auto"/>
      </w:pPr>
      <w:r>
        <w:separator/>
      </w:r>
    </w:p>
  </w:footnote>
  <w:footnote w:type="continuationSeparator" w:id="0">
    <w:p w:rsidR="0047558C" w:rsidRDefault="00475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Default="00EE3F31">
    <w:pPr>
      <w:pStyle w:val="Header"/>
    </w:pPr>
    <w:r>
      <w:rPr>
        <w:noProof/>
        <w:lang w:val="en-US" w:bidi="he-I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F31" w:rsidRDefault="00EE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Default="00EE3F31">
    <w:pPr>
      <w:pStyle w:val="Header"/>
    </w:pPr>
    <w:r>
      <w:rPr>
        <w:noProof/>
        <w:lang w:val="en-US" w:bidi="he-I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F31" w:rsidRDefault="00EE3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31" w:rsidRDefault="00EE3F31">
    <w:pPr>
      <w:pStyle w:val="Header"/>
    </w:pPr>
    <w:r>
      <w:rPr>
        <w:noProof/>
        <w:lang w:val="en-US" w:bidi="he-IL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485775</wp:posOffset>
          </wp:positionH>
          <wp:positionV relativeFrom="page">
            <wp:posOffset>532765</wp:posOffset>
          </wp:positionV>
          <wp:extent cx="1410335" cy="1193165"/>
          <wp:effectExtent l="0" t="0" r="0" b="0"/>
          <wp:wrapNone/>
          <wp:docPr id="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0AF"/>
    <w:multiLevelType w:val="hybridMultilevel"/>
    <w:tmpl w:val="B194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185C"/>
    <w:multiLevelType w:val="hybridMultilevel"/>
    <w:tmpl w:val="5532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0965C0"/>
    <w:multiLevelType w:val="hybridMultilevel"/>
    <w:tmpl w:val="8D14CA5C"/>
    <w:lvl w:ilvl="0" w:tplc="CFC43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333"/>
    <w:multiLevelType w:val="hybridMultilevel"/>
    <w:tmpl w:val="C184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8"/>
    <w:rsid w:val="00014847"/>
    <w:rsid w:val="0003704D"/>
    <w:rsid w:val="0009666A"/>
    <w:rsid w:val="00097125"/>
    <w:rsid w:val="000C6A23"/>
    <w:rsid w:val="000F6FCE"/>
    <w:rsid w:val="0010427C"/>
    <w:rsid w:val="00113C4E"/>
    <w:rsid w:val="00122AB5"/>
    <w:rsid w:val="001B60D8"/>
    <w:rsid w:val="001F38AD"/>
    <w:rsid w:val="00213247"/>
    <w:rsid w:val="00214149"/>
    <w:rsid w:val="00216179"/>
    <w:rsid w:val="00262B05"/>
    <w:rsid w:val="00273872"/>
    <w:rsid w:val="002A04C7"/>
    <w:rsid w:val="002A0EA2"/>
    <w:rsid w:val="00365889"/>
    <w:rsid w:val="00373579"/>
    <w:rsid w:val="003B1F72"/>
    <w:rsid w:val="003F192F"/>
    <w:rsid w:val="003F328D"/>
    <w:rsid w:val="00437ADE"/>
    <w:rsid w:val="0047558C"/>
    <w:rsid w:val="004826BF"/>
    <w:rsid w:val="004972C4"/>
    <w:rsid w:val="004B5F0A"/>
    <w:rsid w:val="004E30ED"/>
    <w:rsid w:val="004F280F"/>
    <w:rsid w:val="00503492"/>
    <w:rsid w:val="00511A29"/>
    <w:rsid w:val="00524528"/>
    <w:rsid w:val="00524775"/>
    <w:rsid w:val="00524A47"/>
    <w:rsid w:val="00562C90"/>
    <w:rsid w:val="005771D7"/>
    <w:rsid w:val="00577E9D"/>
    <w:rsid w:val="005A471B"/>
    <w:rsid w:val="005B1251"/>
    <w:rsid w:val="005E6358"/>
    <w:rsid w:val="00605D06"/>
    <w:rsid w:val="006C1210"/>
    <w:rsid w:val="006C48F1"/>
    <w:rsid w:val="006F4CE4"/>
    <w:rsid w:val="006F5DEC"/>
    <w:rsid w:val="00700637"/>
    <w:rsid w:val="0078105C"/>
    <w:rsid w:val="007A6303"/>
    <w:rsid w:val="007B1770"/>
    <w:rsid w:val="007D565D"/>
    <w:rsid w:val="007E2054"/>
    <w:rsid w:val="007F5F50"/>
    <w:rsid w:val="008860CE"/>
    <w:rsid w:val="008A7CA7"/>
    <w:rsid w:val="008B0E49"/>
    <w:rsid w:val="008C5541"/>
    <w:rsid w:val="008D7492"/>
    <w:rsid w:val="00911792"/>
    <w:rsid w:val="0091272A"/>
    <w:rsid w:val="00916AF0"/>
    <w:rsid w:val="00955ECB"/>
    <w:rsid w:val="009C036F"/>
    <w:rsid w:val="009E5191"/>
    <w:rsid w:val="00A33E8D"/>
    <w:rsid w:val="00A3457D"/>
    <w:rsid w:val="00A659A2"/>
    <w:rsid w:val="00A82457"/>
    <w:rsid w:val="00A831C5"/>
    <w:rsid w:val="00AB5BCB"/>
    <w:rsid w:val="00AB6E37"/>
    <w:rsid w:val="00AC01FD"/>
    <w:rsid w:val="00AC3BAE"/>
    <w:rsid w:val="00B113CD"/>
    <w:rsid w:val="00B14B4B"/>
    <w:rsid w:val="00B23D0E"/>
    <w:rsid w:val="00B338D2"/>
    <w:rsid w:val="00B42E1D"/>
    <w:rsid w:val="00BA66EB"/>
    <w:rsid w:val="00BC126C"/>
    <w:rsid w:val="00BC6D80"/>
    <w:rsid w:val="00BC71FE"/>
    <w:rsid w:val="00BD3E4D"/>
    <w:rsid w:val="00BE5872"/>
    <w:rsid w:val="00C52DDD"/>
    <w:rsid w:val="00C70CF6"/>
    <w:rsid w:val="00CC774B"/>
    <w:rsid w:val="00CD6A20"/>
    <w:rsid w:val="00CE27AF"/>
    <w:rsid w:val="00CE306A"/>
    <w:rsid w:val="00CE4CD7"/>
    <w:rsid w:val="00D360CE"/>
    <w:rsid w:val="00D456C6"/>
    <w:rsid w:val="00D500E8"/>
    <w:rsid w:val="00D67407"/>
    <w:rsid w:val="00D73EB9"/>
    <w:rsid w:val="00DB54B0"/>
    <w:rsid w:val="00E253BB"/>
    <w:rsid w:val="00E434F3"/>
    <w:rsid w:val="00E47294"/>
    <w:rsid w:val="00E563EC"/>
    <w:rsid w:val="00E8166E"/>
    <w:rsid w:val="00E936A6"/>
    <w:rsid w:val="00EA6582"/>
    <w:rsid w:val="00EE3F31"/>
    <w:rsid w:val="00F0229F"/>
    <w:rsid w:val="00F31602"/>
    <w:rsid w:val="00F60472"/>
    <w:rsid w:val="00F7144A"/>
    <w:rsid w:val="00FB1915"/>
    <w:rsid w:val="00FC120F"/>
    <w:rsid w:val="00FE223F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BD3D23"/>
  <w15:docId w15:val="{D15E4D13-2478-43AF-A450-2BDE3378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2"/>
    <w:pPr>
      <w:spacing w:line="240" w:lineRule="atLeast"/>
    </w:pPr>
    <w:rPr>
      <w:rFonts w:ascii="Georgia" w:hAnsi="Georgia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F72"/>
    <w:pPr>
      <w:keepNext/>
      <w:keepLines/>
      <w:spacing w:before="480"/>
      <w:outlineLvl w:val="0"/>
    </w:pPr>
    <w:rPr>
      <w:rFonts w:eastAsia="Times New Roman"/>
      <w:b/>
      <w:bCs/>
      <w:color w:val="DC6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F72"/>
    <w:pPr>
      <w:keepNext/>
      <w:keepLines/>
      <w:spacing w:before="200"/>
      <w:outlineLvl w:val="1"/>
    </w:pPr>
    <w:rPr>
      <w:rFonts w:eastAsia="Times New Roman"/>
      <w:b/>
      <w:bCs/>
      <w:color w:val="DC69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541"/>
  </w:style>
  <w:style w:type="paragraph" w:styleId="Footer">
    <w:name w:val="footer"/>
    <w:basedOn w:val="Normal"/>
    <w:link w:val="FooterChar"/>
    <w:uiPriority w:val="99"/>
    <w:semiHidden/>
    <w:unhideWhenUsed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541"/>
  </w:style>
  <w:style w:type="paragraph" w:styleId="BodyText">
    <w:name w:val="Body Text"/>
    <w:basedOn w:val="Normal"/>
    <w:link w:val="BodyTextChar"/>
    <w:uiPriority w:val="99"/>
    <w:semiHidden/>
    <w:unhideWhenUsed/>
    <w:rsid w:val="008C554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541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3B1F72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3B1F72"/>
    <w:rPr>
      <w:rFonts w:ascii="Arial" w:hAnsi="Arial" w:cs="Arial"/>
      <w:noProof/>
      <w:sz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1F72"/>
    <w:rPr>
      <w:rFonts w:ascii="Georgia" w:eastAsia="Times New Roman" w:hAnsi="Georgia" w:cs="Times New Roman"/>
      <w:b/>
      <w:bCs/>
      <w:color w:val="DC69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F72"/>
    <w:rPr>
      <w:rFonts w:ascii="Georgia" w:eastAsia="Times New Roman" w:hAnsi="Georgia" w:cs="Times New Roman"/>
      <w:b/>
      <w:bCs/>
      <w:color w:val="DC6900"/>
      <w:sz w:val="26"/>
      <w:szCs w:val="26"/>
    </w:rPr>
  </w:style>
  <w:style w:type="paragraph" w:customStyle="1" w:styleId="PwCAddress">
    <w:name w:val="PwC Address"/>
    <w:basedOn w:val="Normal"/>
    <w:link w:val="PwCAddressChar"/>
    <w:qFormat/>
    <w:rsid w:val="003B1F72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3B1F72"/>
    <w:rPr>
      <w:rFonts w:ascii="Georgia" w:hAnsi="Georgia"/>
      <w:i/>
      <w:noProof/>
      <w:sz w:val="18"/>
      <w:lang w:eastAsia="en-GB"/>
    </w:rPr>
  </w:style>
  <w:style w:type="character" w:customStyle="1" w:styleId="ms-rtefontsize-21">
    <w:name w:val="ms-rtefontsize-21"/>
    <w:basedOn w:val="DefaultParagraphFont"/>
    <w:rsid w:val="002161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16179"/>
    <w:pPr>
      <w:ind w:left="720"/>
      <w:contextualSpacing/>
    </w:pPr>
  </w:style>
  <w:style w:type="paragraph" w:customStyle="1" w:styleId="headlines2">
    <w:name w:val="headlines2"/>
    <w:basedOn w:val="Normal"/>
    <w:rsid w:val="00D73EB9"/>
    <w:pPr>
      <w:spacing w:line="360" w:lineRule="auto"/>
      <w:jc w:val="center"/>
    </w:pPr>
    <w:rPr>
      <w:rFonts w:ascii="Arial" w:eastAsia="Times New Roman" w:hAnsi="Arial" w:cs="Arial"/>
      <w:color w:val="23608B"/>
      <w:sz w:val="21"/>
      <w:szCs w:val="21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14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0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6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3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1B0C5"/>
                <w:bottom w:val="none" w:sz="0" w:space="0" w:color="auto"/>
                <w:right w:val="single" w:sz="6" w:space="0" w:color="91B0C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as.PWC_IL\Local%20Settings\Temp\wz5263\Word%20Letterhead%20Templates%20100924%20v1\A4,%20no%20disclaimer,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A4, no disclaimer, colour</Template>
  <TotalTime>7</TotalTime>
  <Pages>1</Pages>
  <Words>149</Words>
  <Characters>814</Characters>
  <Application>Microsoft Office Word</Application>
  <DocSecurity>0</DocSecurity>
  <Lines>32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Shaposhnik</dc:creator>
  <cp:lastModifiedBy>Diana Goldinstein</cp:lastModifiedBy>
  <cp:revision>3</cp:revision>
  <cp:lastPrinted>2018-12-26T09:42:00Z</cp:lastPrinted>
  <dcterms:created xsi:type="dcterms:W3CDTF">2019-02-06T08:43:00Z</dcterms:created>
  <dcterms:modified xsi:type="dcterms:W3CDTF">2019-02-06T08:50:00Z</dcterms:modified>
</cp:coreProperties>
</file>