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A5" w:rsidRDefault="009435A5" w:rsidP="00E34D1B">
      <w:pPr>
        <w:spacing w:line="360" w:lineRule="auto"/>
        <w:rPr>
          <w:rtl/>
        </w:rPr>
      </w:pPr>
      <w:bookmarkStart w:id="0" w:name="_GoBack"/>
      <w:bookmarkEnd w:id="0"/>
    </w:p>
    <w:p w:rsidR="00E34D1B" w:rsidRDefault="00E34D1B" w:rsidP="00E34D1B">
      <w:pPr>
        <w:spacing w:line="360" w:lineRule="auto"/>
        <w:rPr>
          <w:rtl/>
        </w:rPr>
      </w:pPr>
    </w:p>
    <w:p w:rsidR="003023B6" w:rsidRDefault="003023B6" w:rsidP="00E34D1B">
      <w:pPr>
        <w:ind w:left="7370"/>
        <w:rPr>
          <w:sz w:val="24"/>
          <w:rtl/>
        </w:rPr>
      </w:pPr>
      <w:bookmarkStart w:id="1" w:name="Date"/>
      <w:bookmarkEnd w:id="1"/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"ז בסיון </w:t>
      </w:r>
      <w:proofErr w:type="spellStart"/>
      <w:r>
        <w:rPr>
          <w:sz w:val="24"/>
          <w:rtl/>
        </w:rPr>
        <w:t>התשע"ח</w:t>
      </w:r>
      <w:proofErr w:type="spellEnd"/>
      <w:r>
        <w:rPr>
          <w:sz w:val="24"/>
          <w:rtl/>
        </w:rPr>
        <w:br/>
        <w:t>10 ביוני 2018</w:t>
      </w:r>
    </w:p>
    <w:p w:rsidR="003023B6" w:rsidRDefault="003023B6" w:rsidP="00E34D1B">
      <w:pPr>
        <w:ind w:left="7370"/>
        <w:rPr>
          <w:rtl/>
        </w:rPr>
      </w:pPr>
      <w:bookmarkStart w:id="2" w:name="DocNum"/>
      <w:bookmarkEnd w:id="2"/>
      <w:r>
        <w:rPr>
          <w:rtl/>
        </w:rPr>
        <w:t>שה. 2018-9073</w:t>
      </w:r>
    </w:p>
    <w:p w:rsidR="009435A5" w:rsidRDefault="009435A5" w:rsidP="009435A5">
      <w:pPr>
        <w:spacing w:line="360" w:lineRule="auto"/>
        <w:jc w:val="both"/>
        <w:rPr>
          <w:rtl/>
        </w:rPr>
      </w:pPr>
    </w:p>
    <w:p w:rsidR="009435A5" w:rsidRDefault="008D1B51" w:rsidP="001204BD">
      <w:pPr>
        <w:spacing w:line="25" w:lineRule="atLeast"/>
        <w:jc w:val="center"/>
        <w:rPr>
          <w:b/>
          <w:bCs/>
          <w:u w:val="single"/>
          <w:rtl/>
        </w:rPr>
      </w:pPr>
      <w:bookmarkStart w:id="3" w:name="Start"/>
      <w:bookmarkEnd w:id="3"/>
      <w:r>
        <w:rPr>
          <w:rFonts w:hint="cs"/>
          <w:b/>
          <w:bCs/>
          <w:u w:val="single"/>
          <w:rtl/>
        </w:rPr>
        <w:t>משרת ס</w:t>
      </w:r>
      <w:r w:rsidR="009D73D2">
        <w:rPr>
          <w:rFonts w:hint="cs"/>
          <w:b/>
          <w:bCs/>
          <w:u w:val="single"/>
          <w:rtl/>
        </w:rPr>
        <w:t>טודנט לרשות שוק ההון</w:t>
      </w:r>
    </w:p>
    <w:p w:rsidR="008D1B51" w:rsidRDefault="008D1B51" w:rsidP="008D1B51">
      <w:pPr>
        <w:spacing w:line="25" w:lineRule="atLeast"/>
        <w:jc w:val="center"/>
        <w:rPr>
          <w:b/>
          <w:bCs/>
          <w:u w:val="single"/>
          <w:rtl/>
        </w:rPr>
      </w:pPr>
    </w:p>
    <w:p w:rsidR="00D60482" w:rsidRDefault="00D74166" w:rsidP="001204B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רשות שוק ההון מרחיבה את תחומי פעילותה ומקימה מערך רישוי, הסדרה ופיקוח עבור נותני שירותי </w:t>
      </w:r>
      <w:r w:rsidR="001204BD">
        <w:rPr>
          <w:rFonts w:hint="cs"/>
          <w:rtl/>
        </w:rPr>
        <w:t>פיננסיים חוץ-בנקאיים</w:t>
      </w:r>
      <w:r w:rsidR="00D60482">
        <w:rPr>
          <w:rFonts w:hint="cs"/>
          <w:rtl/>
        </w:rPr>
        <w:t xml:space="preserve"> ומזמינה אתכם להיות שותפים לתהליך ההקמה. </w:t>
      </w:r>
    </w:p>
    <w:p w:rsidR="001C5935" w:rsidRDefault="00983CA9" w:rsidP="008219EC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אנו מחפשים סטודנט עם ראש גדול ומחויבות לתפקיד ש</w:t>
      </w:r>
      <w:r w:rsidR="001C5935">
        <w:rPr>
          <w:rFonts w:hint="cs"/>
          <w:rtl/>
        </w:rPr>
        <w:t>ישתלב ב</w:t>
      </w:r>
      <w:r>
        <w:rPr>
          <w:rFonts w:hint="cs"/>
          <w:rtl/>
        </w:rPr>
        <w:t>תהליך</w:t>
      </w:r>
      <w:r w:rsidR="00D60482">
        <w:rPr>
          <w:rFonts w:hint="cs"/>
          <w:rtl/>
        </w:rPr>
        <w:t xml:space="preserve"> </w:t>
      </w:r>
      <w:r w:rsidR="001C5935">
        <w:rPr>
          <w:rFonts w:hint="cs"/>
          <w:rtl/>
        </w:rPr>
        <w:t xml:space="preserve">ההקמה באמצעות טיפול בבקשות רישוי, כאשר במקביל </w:t>
      </w:r>
      <w:r w:rsidR="004F51F1">
        <w:rPr>
          <w:rFonts w:hint="cs"/>
          <w:rtl/>
        </w:rPr>
        <w:t xml:space="preserve">נבנה את </w:t>
      </w:r>
      <w:r w:rsidR="001204BD">
        <w:rPr>
          <w:rFonts w:hint="cs"/>
          <w:rtl/>
        </w:rPr>
        <w:t>מערך</w:t>
      </w:r>
      <w:r w:rsidR="001C5935">
        <w:rPr>
          <w:rFonts w:hint="cs"/>
          <w:rtl/>
        </w:rPr>
        <w:t xml:space="preserve"> הרישוי תוך כדי תנועה.</w:t>
      </w:r>
      <w:r w:rsidR="009F307C">
        <w:rPr>
          <w:rFonts w:hint="cs"/>
          <w:rtl/>
        </w:rPr>
        <w:t xml:space="preserve"> </w:t>
      </w:r>
      <w:r w:rsidR="001204BD">
        <w:rPr>
          <w:rFonts w:hint="cs"/>
          <w:rtl/>
        </w:rPr>
        <w:t>כחלק מ</w:t>
      </w:r>
      <w:r w:rsidR="008219EC">
        <w:rPr>
          <w:rFonts w:hint="cs"/>
          <w:rtl/>
        </w:rPr>
        <w:t>עבודתו</w:t>
      </w:r>
      <w:r w:rsidR="001204BD">
        <w:rPr>
          <w:rFonts w:hint="cs"/>
          <w:rtl/>
        </w:rPr>
        <w:t xml:space="preserve"> יעסוק הסטודנט בהנחת התשתיות והבניית תהליכי המאקרו של בדיקת הרישיונות, </w:t>
      </w:r>
      <w:r w:rsidR="008219EC">
        <w:rPr>
          <w:rFonts w:hint="cs"/>
          <w:rtl/>
        </w:rPr>
        <w:t>ולצד זאת</w:t>
      </w:r>
      <w:r w:rsidR="001204BD">
        <w:rPr>
          <w:rFonts w:hint="cs"/>
          <w:rtl/>
        </w:rPr>
        <w:t xml:space="preserve"> יידרש ללמידה ולהבנת עומק של בקשות הרישיון בתחום חדש וצומח.</w:t>
      </w:r>
    </w:p>
    <w:p w:rsidR="00983CA9" w:rsidRDefault="001C5935" w:rsidP="001204BD">
      <w:pPr>
        <w:spacing w:line="360" w:lineRule="auto"/>
        <w:jc w:val="both"/>
        <w:rPr>
          <w:rtl/>
        </w:rPr>
      </w:pPr>
      <w:r>
        <w:rPr>
          <w:rFonts w:hint="cs"/>
          <w:rtl/>
        </w:rPr>
        <w:t>בנוסף יעסקו הסטודנטים ב</w:t>
      </w:r>
      <w:r w:rsidR="00D60482">
        <w:rPr>
          <w:rFonts w:hint="cs"/>
          <w:rtl/>
        </w:rPr>
        <w:t>מחקר שוק ה</w:t>
      </w:r>
      <w:r w:rsidR="001204BD">
        <w:rPr>
          <w:rFonts w:hint="cs"/>
          <w:rtl/>
        </w:rPr>
        <w:t>שירותים הפיננסיים</w:t>
      </w:r>
      <w:r w:rsidR="00D60482">
        <w:rPr>
          <w:rFonts w:hint="cs"/>
          <w:rtl/>
        </w:rPr>
        <w:t xml:space="preserve"> החוץ</w:t>
      </w:r>
      <w:r w:rsidR="001204BD">
        <w:rPr>
          <w:rFonts w:hint="cs"/>
          <w:rtl/>
        </w:rPr>
        <w:t>-</w:t>
      </w:r>
      <w:r w:rsidR="00D60482">
        <w:rPr>
          <w:rFonts w:hint="cs"/>
          <w:rtl/>
        </w:rPr>
        <w:t>בנקאי</w:t>
      </w:r>
      <w:r w:rsidR="001204BD">
        <w:rPr>
          <w:rFonts w:hint="cs"/>
          <w:rtl/>
        </w:rPr>
        <w:t>ים</w:t>
      </w:r>
      <w:r w:rsidR="00D60482">
        <w:rPr>
          <w:rFonts w:hint="cs"/>
          <w:rtl/>
        </w:rPr>
        <w:t xml:space="preserve"> </w:t>
      </w:r>
      <w:r w:rsidR="004F51F1">
        <w:rPr>
          <w:rFonts w:hint="cs"/>
          <w:rtl/>
        </w:rPr>
        <w:t>מתוך מטרה לבחון</w:t>
      </w:r>
      <w:r w:rsidR="00D60482">
        <w:rPr>
          <w:rFonts w:hint="cs"/>
          <w:rtl/>
        </w:rPr>
        <w:t xml:space="preserve"> מתווה מדיניות עתידי</w:t>
      </w:r>
      <w:r w:rsidR="004F51F1">
        <w:rPr>
          <w:rFonts w:hint="cs"/>
          <w:rtl/>
        </w:rPr>
        <w:t xml:space="preserve"> לשוק </w:t>
      </w:r>
      <w:r w:rsidR="00BB2F18">
        <w:rPr>
          <w:rFonts w:hint="cs"/>
          <w:rtl/>
        </w:rPr>
        <w:t>זה</w:t>
      </w:r>
      <w:r w:rsidR="00D60482">
        <w:rPr>
          <w:rFonts w:hint="cs"/>
          <w:rtl/>
        </w:rPr>
        <w:t xml:space="preserve">. </w:t>
      </w:r>
    </w:p>
    <w:p w:rsidR="00D74166" w:rsidRDefault="00D74166" w:rsidP="004F51F1">
      <w:pPr>
        <w:spacing w:line="360" w:lineRule="auto"/>
        <w:rPr>
          <w:rtl/>
        </w:rPr>
      </w:pPr>
    </w:p>
    <w:p w:rsidR="008D1B51" w:rsidRPr="004F51F1" w:rsidRDefault="00186587" w:rsidP="004F51F1">
      <w:pPr>
        <w:spacing w:line="360" w:lineRule="auto"/>
        <w:rPr>
          <w:u w:val="single"/>
          <w:rtl/>
        </w:rPr>
      </w:pPr>
      <w:r w:rsidRPr="004F51F1">
        <w:rPr>
          <w:rFonts w:hint="cs"/>
          <w:u w:val="single"/>
          <w:rtl/>
        </w:rPr>
        <w:t>הגדרת תפקיד</w:t>
      </w:r>
      <w:r w:rsidR="008D1B51" w:rsidRPr="004F51F1">
        <w:rPr>
          <w:rFonts w:hint="cs"/>
          <w:u w:val="single"/>
          <w:rtl/>
        </w:rPr>
        <w:t>:</w:t>
      </w:r>
    </w:p>
    <w:p w:rsidR="00AE27EF" w:rsidRDefault="00AE27EF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טיפול בבקשות לקבלת רישיון</w:t>
      </w:r>
      <w:r w:rsidR="009F307C">
        <w:rPr>
          <w:rFonts w:hint="cs"/>
          <w:rtl/>
        </w:rPr>
        <w:t xml:space="preserve"> </w:t>
      </w:r>
    </w:p>
    <w:p w:rsidR="008219EC" w:rsidRDefault="008219EC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הובלת תהליכי עבודה להסדרת תחום הרישוי מול גורמים בתוך רשות שוק ההון או גורמים חיצוניים</w:t>
      </w:r>
    </w:p>
    <w:p w:rsidR="00AF50EE" w:rsidRDefault="00AF50EE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סקירה וניתוח כלכלי בתחומי הפיקוח, זיהוי חסמים והמלצות להסרתם</w:t>
      </w:r>
    </w:p>
    <w:p w:rsidR="00753BD1" w:rsidRDefault="008219EC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מענה ל</w:t>
      </w:r>
      <w:r w:rsidR="00FD2611">
        <w:rPr>
          <w:rFonts w:hint="cs"/>
          <w:rtl/>
        </w:rPr>
        <w:t>שאלות ופניות של</w:t>
      </w:r>
      <w:r>
        <w:rPr>
          <w:rFonts w:hint="cs"/>
          <w:rtl/>
        </w:rPr>
        <w:t xml:space="preserve"> מבקשי רישיון</w:t>
      </w:r>
    </w:p>
    <w:p w:rsidR="00186587" w:rsidRDefault="00186587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משימות נוספות לפי דרישה</w:t>
      </w:r>
    </w:p>
    <w:p w:rsidR="00186587" w:rsidRDefault="00186587" w:rsidP="004F51F1">
      <w:pPr>
        <w:spacing w:line="360" w:lineRule="auto"/>
        <w:rPr>
          <w:rtl/>
        </w:rPr>
      </w:pPr>
    </w:p>
    <w:p w:rsidR="00186587" w:rsidRPr="004F51F1" w:rsidRDefault="00186587" w:rsidP="004F51F1">
      <w:pPr>
        <w:spacing w:line="360" w:lineRule="auto"/>
        <w:rPr>
          <w:u w:val="single"/>
          <w:rtl/>
        </w:rPr>
      </w:pPr>
      <w:r w:rsidRPr="004F51F1">
        <w:rPr>
          <w:rFonts w:hint="cs"/>
          <w:u w:val="single"/>
          <w:rtl/>
        </w:rPr>
        <w:t>דרישות התפקיד:</w:t>
      </w:r>
    </w:p>
    <w:p w:rsidR="003023B6" w:rsidRDefault="003023B6" w:rsidP="003023B6">
      <w:pPr>
        <w:pStyle w:val="a7"/>
        <w:numPr>
          <w:ilvl w:val="0"/>
          <w:numId w:val="9"/>
        </w:numPr>
      </w:pPr>
      <w:r>
        <w:rPr>
          <w:rFonts w:hint="cs"/>
          <w:rtl/>
        </w:rPr>
        <w:t>מחויבות לעבודה לשנתיים לפחות</w:t>
      </w:r>
    </w:p>
    <w:p w:rsidR="009F307C" w:rsidRDefault="003023B6" w:rsidP="009F307C">
      <w:pPr>
        <w:pStyle w:val="a7"/>
        <w:numPr>
          <w:ilvl w:val="0"/>
          <w:numId w:val="9"/>
        </w:numPr>
      </w:pPr>
      <w:r>
        <w:rPr>
          <w:rFonts w:hint="cs"/>
          <w:rtl/>
        </w:rPr>
        <w:t>עדיפות לסטודנטים</w:t>
      </w:r>
      <w:r w:rsidR="009F307C">
        <w:rPr>
          <w:rFonts w:hint="cs"/>
          <w:rtl/>
        </w:rPr>
        <w:t xml:space="preserve"> לכלכלה</w:t>
      </w:r>
      <w:r>
        <w:rPr>
          <w:rFonts w:hint="cs"/>
          <w:rtl/>
        </w:rPr>
        <w:t xml:space="preserve">, </w:t>
      </w:r>
      <w:r w:rsidR="00FF3716">
        <w:rPr>
          <w:rFonts w:hint="cs"/>
          <w:rtl/>
        </w:rPr>
        <w:t>חשבונאות</w:t>
      </w:r>
      <w:r>
        <w:rPr>
          <w:rFonts w:hint="cs"/>
          <w:rtl/>
        </w:rPr>
        <w:t xml:space="preserve"> או משפטים</w:t>
      </w:r>
    </w:p>
    <w:p w:rsidR="008219EC" w:rsidRDefault="008219EC" w:rsidP="009F307C">
      <w:pPr>
        <w:pStyle w:val="a7"/>
        <w:numPr>
          <w:ilvl w:val="0"/>
          <w:numId w:val="9"/>
        </w:numPr>
        <w:rPr>
          <w:rtl/>
        </w:rPr>
      </w:pPr>
      <w:r>
        <w:rPr>
          <w:rFonts w:hint="cs"/>
          <w:rtl/>
        </w:rPr>
        <w:t xml:space="preserve">שליטה בתוכנת </w:t>
      </w:r>
      <w:r>
        <w:t>Excel</w:t>
      </w:r>
    </w:p>
    <w:p w:rsidR="00186587" w:rsidRDefault="009F307C" w:rsidP="009F307C">
      <w:pPr>
        <w:pStyle w:val="a7"/>
        <w:numPr>
          <w:ilvl w:val="0"/>
          <w:numId w:val="9"/>
        </w:numPr>
      </w:pPr>
      <w:r>
        <w:rPr>
          <w:rFonts w:hint="cs"/>
          <w:rtl/>
        </w:rPr>
        <w:t xml:space="preserve">מחויבות לתפקיד </w:t>
      </w:r>
    </w:p>
    <w:p w:rsidR="00986219" w:rsidRDefault="00AF50EE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יכולת למידה עצמית</w:t>
      </w:r>
    </w:p>
    <w:p w:rsidR="00962EAB" w:rsidRDefault="00DC7A37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יכולת לניהול ול</w:t>
      </w:r>
      <w:r w:rsidR="00AF50EE">
        <w:rPr>
          <w:rFonts w:hint="cs"/>
          <w:rtl/>
        </w:rPr>
        <w:t>קידום פרויקטים</w:t>
      </w:r>
    </w:p>
    <w:p w:rsidR="008219EC" w:rsidRDefault="008219EC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מגורים באזור ירושלים</w:t>
      </w:r>
    </w:p>
    <w:p w:rsidR="00186587" w:rsidRDefault="00186587" w:rsidP="004F51F1">
      <w:pPr>
        <w:spacing w:line="360" w:lineRule="auto"/>
        <w:rPr>
          <w:rtl/>
        </w:rPr>
      </w:pPr>
    </w:p>
    <w:p w:rsidR="00FF3716" w:rsidRDefault="00FF3716" w:rsidP="004F51F1">
      <w:pPr>
        <w:spacing w:line="360" w:lineRule="auto"/>
        <w:rPr>
          <w:rtl/>
        </w:rPr>
      </w:pPr>
    </w:p>
    <w:p w:rsidR="00186587" w:rsidRDefault="00186587" w:rsidP="004F51F1">
      <w:pPr>
        <w:spacing w:line="360" w:lineRule="auto"/>
        <w:rPr>
          <w:rtl/>
        </w:rPr>
      </w:pPr>
      <w:r w:rsidRPr="004F51F1">
        <w:rPr>
          <w:rFonts w:hint="cs"/>
          <w:u w:val="single"/>
          <w:rtl/>
        </w:rPr>
        <w:t>היקף משרה:</w:t>
      </w:r>
      <w:r>
        <w:rPr>
          <w:rFonts w:hint="cs"/>
          <w:rtl/>
        </w:rPr>
        <w:t xml:space="preserve"> 120 שעות</w:t>
      </w:r>
    </w:p>
    <w:p w:rsidR="008D1B51" w:rsidRPr="008D1B51" w:rsidRDefault="008D1B51" w:rsidP="00FD2611">
      <w:pPr>
        <w:spacing w:line="360" w:lineRule="auto"/>
        <w:rPr>
          <w:rtl/>
        </w:rPr>
      </w:pPr>
    </w:p>
    <w:p w:rsidR="00FD2611" w:rsidRPr="00FD2611" w:rsidRDefault="004F51F1" w:rsidP="003023B6">
      <w:pPr>
        <w:spacing w:line="360" w:lineRule="auto"/>
        <w:jc w:val="both"/>
        <w:rPr>
          <w:b/>
          <w:bCs/>
          <w:rtl/>
        </w:rPr>
      </w:pPr>
      <w:r w:rsidRPr="004F51F1">
        <w:rPr>
          <w:rFonts w:hint="cs"/>
          <w:b/>
          <w:bCs/>
          <w:rtl/>
        </w:rPr>
        <w:t>קורות חיים יש להעביר עד ה-</w:t>
      </w:r>
      <w:r w:rsidR="003023B6">
        <w:rPr>
          <w:rFonts w:hint="cs"/>
          <w:b/>
          <w:bCs/>
          <w:rtl/>
        </w:rPr>
        <w:t>12</w:t>
      </w:r>
      <w:r w:rsidR="00FF3716">
        <w:rPr>
          <w:rFonts w:hint="cs"/>
          <w:b/>
          <w:bCs/>
          <w:rtl/>
        </w:rPr>
        <w:t>/</w:t>
      </w:r>
      <w:r w:rsidR="003023B6">
        <w:rPr>
          <w:rFonts w:hint="cs"/>
          <w:b/>
          <w:bCs/>
          <w:rtl/>
        </w:rPr>
        <w:t>7</w:t>
      </w:r>
      <w:r w:rsidR="00FF3716">
        <w:rPr>
          <w:rFonts w:hint="cs"/>
          <w:b/>
          <w:bCs/>
          <w:rtl/>
        </w:rPr>
        <w:t>/2018</w:t>
      </w:r>
      <w:r w:rsidRPr="004F51F1">
        <w:rPr>
          <w:rFonts w:hint="cs"/>
          <w:b/>
          <w:bCs/>
          <w:rtl/>
        </w:rPr>
        <w:t xml:space="preserve"> לידי נסיה יודיץ </w:t>
      </w:r>
      <w:hyperlink r:id="rId8" w:history="1">
        <w:r w:rsidR="00FD2611" w:rsidRPr="00CC4EF0">
          <w:rPr>
            <w:rStyle w:val="Hyperlink"/>
            <w:b/>
            <w:bCs/>
          </w:rPr>
          <w:t>nesya@mof.gov.il</w:t>
        </w:r>
      </w:hyperlink>
    </w:p>
    <w:sectPr w:rsidR="00FD2611" w:rsidRPr="00FD2611" w:rsidSect="002973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418" w:right="1134" w:bottom="1418" w:left="1134" w:header="28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BB" w:rsidRDefault="006B2DBB">
      <w:r>
        <w:separator/>
      </w:r>
    </w:p>
  </w:endnote>
  <w:endnote w:type="continuationSeparator" w:id="0">
    <w:p w:rsidR="006B2DBB" w:rsidRDefault="006B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FB" w:rsidRDefault="009435A5">
    <w:pPr>
      <w:pStyle w:val="aa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BE67FB" w:rsidRDefault="006B2DBB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  <w:rtl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BB" w:rsidRDefault="006B2DBB">
      <w:r>
        <w:separator/>
      </w:r>
    </w:p>
  </w:footnote>
  <w:footnote w:type="continuationSeparator" w:id="0">
    <w:p w:rsidR="006B2DBB" w:rsidRDefault="006B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9651144"/>
      <w:docPartObj>
        <w:docPartGallery w:val="Page Numbers (Top of Page)"/>
        <w:docPartUnique/>
      </w:docPartObj>
    </w:sdtPr>
    <w:sdtEndPr>
      <w:rPr>
        <w:cs/>
      </w:rPr>
    </w:sdtEndPr>
    <w:sdtContent>
      <w:p w:rsidR="0007311F" w:rsidRDefault="009435A5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023B6" w:rsidRPr="003023B6">
          <w:rPr>
            <w:noProof/>
            <w:rtl/>
            <w:lang w:val="he-IL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B2" w:rsidRDefault="002973B2" w:rsidP="002973B2">
    <w:pPr>
      <w:pStyle w:val="a8"/>
      <w:jc w:val="center"/>
      <w:rPr>
        <w:b/>
        <w:bCs/>
        <w:szCs w:val="36"/>
        <w:rtl/>
      </w:rPr>
    </w:pPr>
    <w:r>
      <w:rPr>
        <w:rFonts w:hint="cs"/>
        <w:b/>
        <w:bCs/>
        <w:noProof/>
        <w:szCs w:val="36"/>
        <w:lang w:eastAsia="en-US"/>
      </w:rPr>
      <w:drawing>
        <wp:inline distT="0" distB="0" distL="0" distR="0" wp14:anchorId="53FCFEC8" wp14:editId="2BC72922">
          <wp:extent cx="563056" cy="446228"/>
          <wp:effectExtent l="0" t="0" r="0" b="0"/>
          <wp:docPr id="9" name="תמונה 9" descr="C:\Users\Shabed\Desktop\לוגו-ללא-טקס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bed\Desktop\לוגו-ללא-טקסט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4" t="23133" r="15750" b="20365"/>
                  <a:stretch/>
                </pic:blipFill>
                <pic:spPr bwMode="auto">
                  <a:xfrm>
                    <a:off x="0" y="0"/>
                    <a:ext cx="564078" cy="447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B14" w:rsidRDefault="00276B14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מדינת ישראל</w:t>
    </w:r>
  </w:p>
  <w:p w:rsidR="002973B2" w:rsidRDefault="002973B2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רשות</w:t>
    </w:r>
    <w:r>
      <w:rPr>
        <w:b/>
        <w:bCs/>
        <w:szCs w:val="32"/>
        <w:rtl/>
      </w:rPr>
      <w:t xml:space="preserve"> שוק ההון, ביטוח וחיסכון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24980E73"/>
    <w:multiLevelType w:val="hybridMultilevel"/>
    <w:tmpl w:val="3614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3EF1"/>
    <w:multiLevelType w:val="hybridMultilevel"/>
    <w:tmpl w:val="64D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7ECF0D07"/>
    <w:multiLevelType w:val="hybridMultilevel"/>
    <w:tmpl w:val="B76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5"/>
    <w:rsid w:val="00014182"/>
    <w:rsid w:val="00047C97"/>
    <w:rsid w:val="000520B7"/>
    <w:rsid w:val="000568CE"/>
    <w:rsid w:val="00066383"/>
    <w:rsid w:val="00093B9D"/>
    <w:rsid w:val="000C04AE"/>
    <w:rsid w:val="000C24D7"/>
    <w:rsid w:val="000E6098"/>
    <w:rsid w:val="000E632C"/>
    <w:rsid w:val="0010326C"/>
    <w:rsid w:val="001204BD"/>
    <w:rsid w:val="001611C6"/>
    <w:rsid w:val="00164B30"/>
    <w:rsid w:val="0018292D"/>
    <w:rsid w:val="00186587"/>
    <w:rsid w:val="001A7C42"/>
    <w:rsid w:val="001C4F6D"/>
    <w:rsid w:val="001C5935"/>
    <w:rsid w:val="001D55DD"/>
    <w:rsid w:val="001E4EBA"/>
    <w:rsid w:val="001E548A"/>
    <w:rsid w:val="00275887"/>
    <w:rsid w:val="00276B14"/>
    <w:rsid w:val="00280698"/>
    <w:rsid w:val="002973B2"/>
    <w:rsid w:val="002A54A3"/>
    <w:rsid w:val="002A7FEA"/>
    <w:rsid w:val="002E38F4"/>
    <w:rsid w:val="002F197C"/>
    <w:rsid w:val="003023B6"/>
    <w:rsid w:val="003120CD"/>
    <w:rsid w:val="00325E01"/>
    <w:rsid w:val="00361114"/>
    <w:rsid w:val="003840FE"/>
    <w:rsid w:val="00393C6A"/>
    <w:rsid w:val="003A1D7A"/>
    <w:rsid w:val="003C3A5C"/>
    <w:rsid w:val="003E1811"/>
    <w:rsid w:val="003E66E6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4F51F1"/>
    <w:rsid w:val="005028F9"/>
    <w:rsid w:val="00505D36"/>
    <w:rsid w:val="0050671C"/>
    <w:rsid w:val="00515321"/>
    <w:rsid w:val="00515E5C"/>
    <w:rsid w:val="00534452"/>
    <w:rsid w:val="005371D8"/>
    <w:rsid w:val="00556BE2"/>
    <w:rsid w:val="005A120B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2DBB"/>
    <w:rsid w:val="006B352E"/>
    <w:rsid w:val="006C4556"/>
    <w:rsid w:val="006C55AF"/>
    <w:rsid w:val="006D0744"/>
    <w:rsid w:val="006D686D"/>
    <w:rsid w:val="006E5942"/>
    <w:rsid w:val="00706164"/>
    <w:rsid w:val="0071485E"/>
    <w:rsid w:val="00735D55"/>
    <w:rsid w:val="00743847"/>
    <w:rsid w:val="00751B50"/>
    <w:rsid w:val="00753BD1"/>
    <w:rsid w:val="00757313"/>
    <w:rsid w:val="00757879"/>
    <w:rsid w:val="007611DA"/>
    <w:rsid w:val="0077514F"/>
    <w:rsid w:val="00793E5C"/>
    <w:rsid w:val="007A373A"/>
    <w:rsid w:val="007D4118"/>
    <w:rsid w:val="007E2692"/>
    <w:rsid w:val="0080160A"/>
    <w:rsid w:val="0081150D"/>
    <w:rsid w:val="008219EC"/>
    <w:rsid w:val="0082739B"/>
    <w:rsid w:val="00864DB3"/>
    <w:rsid w:val="00867AE5"/>
    <w:rsid w:val="00870D8A"/>
    <w:rsid w:val="008B39D7"/>
    <w:rsid w:val="008D1B51"/>
    <w:rsid w:val="008E77BE"/>
    <w:rsid w:val="00910BC9"/>
    <w:rsid w:val="00915C9A"/>
    <w:rsid w:val="00935E81"/>
    <w:rsid w:val="009435A5"/>
    <w:rsid w:val="00962EAB"/>
    <w:rsid w:val="00983CA9"/>
    <w:rsid w:val="00986219"/>
    <w:rsid w:val="00986444"/>
    <w:rsid w:val="00990A24"/>
    <w:rsid w:val="009B64FE"/>
    <w:rsid w:val="009D73D2"/>
    <w:rsid w:val="009E52B5"/>
    <w:rsid w:val="009F307C"/>
    <w:rsid w:val="009F7F7A"/>
    <w:rsid w:val="00A15876"/>
    <w:rsid w:val="00A15D5D"/>
    <w:rsid w:val="00A26446"/>
    <w:rsid w:val="00A30921"/>
    <w:rsid w:val="00A5751E"/>
    <w:rsid w:val="00A67A4F"/>
    <w:rsid w:val="00A7396A"/>
    <w:rsid w:val="00A73972"/>
    <w:rsid w:val="00A84333"/>
    <w:rsid w:val="00A84658"/>
    <w:rsid w:val="00AA4752"/>
    <w:rsid w:val="00AD0167"/>
    <w:rsid w:val="00AE27EF"/>
    <w:rsid w:val="00AF1C47"/>
    <w:rsid w:val="00AF50EE"/>
    <w:rsid w:val="00B03E2B"/>
    <w:rsid w:val="00B041F7"/>
    <w:rsid w:val="00B311D4"/>
    <w:rsid w:val="00B429D7"/>
    <w:rsid w:val="00B435F5"/>
    <w:rsid w:val="00B60EE6"/>
    <w:rsid w:val="00B67385"/>
    <w:rsid w:val="00B93390"/>
    <w:rsid w:val="00B93A25"/>
    <w:rsid w:val="00BB2F18"/>
    <w:rsid w:val="00BB3047"/>
    <w:rsid w:val="00BB393A"/>
    <w:rsid w:val="00BD67E7"/>
    <w:rsid w:val="00C01906"/>
    <w:rsid w:val="00C05E58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0482"/>
    <w:rsid w:val="00D66453"/>
    <w:rsid w:val="00D731DA"/>
    <w:rsid w:val="00D74166"/>
    <w:rsid w:val="00D969C1"/>
    <w:rsid w:val="00DC7A37"/>
    <w:rsid w:val="00DD5320"/>
    <w:rsid w:val="00DD5FD1"/>
    <w:rsid w:val="00DE069A"/>
    <w:rsid w:val="00DE7CC8"/>
    <w:rsid w:val="00DF73FF"/>
    <w:rsid w:val="00E34D1B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44F0F"/>
    <w:rsid w:val="00F509E4"/>
    <w:rsid w:val="00F74EF7"/>
    <w:rsid w:val="00F80DA7"/>
    <w:rsid w:val="00F975CB"/>
    <w:rsid w:val="00FD2611"/>
    <w:rsid w:val="00FD7A54"/>
    <w:rsid w:val="00FE3193"/>
    <w:rsid w:val="00FE3F3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97DDD4-0389-4A1F-81B2-77482299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a7">
    <w:name w:val="List Paragraph"/>
    <w:basedOn w:val="a"/>
    <w:uiPriority w:val="34"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a">
    <w:name w:val="footer"/>
    <w:basedOn w:val="a"/>
    <w:link w:val="ab"/>
    <w:rsid w:val="009435A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9435A5"/>
    <w:rPr>
      <w:color w:val="0000FF"/>
      <w:u w:val="single"/>
    </w:rPr>
  </w:style>
  <w:style w:type="character" w:styleId="ac">
    <w:name w:val="page number"/>
    <w:basedOn w:val="a0"/>
    <w:rsid w:val="009435A5"/>
  </w:style>
  <w:style w:type="paragraph" w:styleId="ad">
    <w:name w:val="Balloon Text"/>
    <w:basedOn w:val="a"/>
    <w:link w:val="ae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ya@mof.gov.i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D9D0-001E-4EF4-B51B-28F6E708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יצחק זרביב</dc:creator>
  <cp:lastModifiedBy>yaelant</cp:lastModifiedBy>
  <cp:revision>2</cp:revision>
  <cp:lastPrinted>2017-02-05T13:49:00Z</cp:lastPrinted>
  <dcterms:created xsi:type="dcterms:W3CDTF">2018-06-12T08:18:00Z</dcterms:created>
  <dcterms:modified xsi:type="dcterms:W3CDTF">2018-06-12T08:18:00Z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notes://MAOR2/Doc/Shuk_hon/hondocNew3.nsf/0/F3F8F864315C4595C22582A8003A210D/?OpenDocument</vt:lpwstr>
  </property>
  <property fmtid="{D5CDD505-2E9C-101B-9397-08002B2CF9AE}" pid="3" name="MaorRecipients0">
    <vt:lpwstr>nesya@mof.gov.il</vt:lpwstr>
  </property>
</Properties>
</file>